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1ABC" w14:textId="3EA7013C" w:rsidR="002268A2" w:rsidRPr="00C70752" w:rsidRDefault="00096205" w:rsidP="00096205">
      <w:pPr>
        <w:pStyle w:val="ANNEXZ"/>
        <w:numPr>
          <w:ilvl w:val="0"/>
          <w:numId w:val="0"/>
        </w:numPr>
      </w:pPr>
      <w:r>
        <w:t>Annex Z…</w:t>
      </w:r>
      <w:r w:rsidR="002268A2" w:rsidRPr="00C70752">
        <w:br/>
      </w:r>
      <w:bookmarkStart w:id="0" w:name="_Toc433278640"/>
      <w:bookmarkStart w:id="1" w:name="_Toc490049593"/>
      <w:r w:rsidR="002268A2" w:rsidRPr="00C70752">
        <w:rPr>
          <w:b w:val="0"/>
        </w:rPr>
        <w:t>(informative)</w:t>
      </w:r>
      <w:r w:rsidR="002268A2" w:rsidRPr="00C70752">
        <w:rPr>
          <w:b w:val="0"/>
        </w:rPr>
        <w:br/>
      </w:r>
      <w:r w:rsidR="002268A2" w:rsidRPr="00C70752">
        <w:br/>
        <w:t xml:space="preserve">Relationship between this European Standard and the essential requirements of </w:t>
      </w:r>
      <w:r w:rsidR="00B36584" w:rsidRPr="00B36584">
        <w:rPr>
          <w:bCs/>
        </w:rPr>
        <w:t>Regulation (EU) 2023/1230</w:t>
      </w:r>
      <w:r w:rsidR="00B36584">
        <w:rPr>
          <w:bCs/>
        </w:rPr>
        <w:t xml:space="preserve"> </w:t>
      </w:r>
      <w:r w:rsidR="002268A2" w:rsidRPr="00C70752">
        <w:t>aimed to be covered</w:t>
      </w:r>
      <w:bookmarkEnd w:id="0"/>
      <w:bookmarkEnd w:id="1"/>
    </w:p>
    <w:p w14:paraId="7EAF42C9" w14:textId="1DC18D6B" w:rsidR="002268A2" w:rsidRPr="00B87161" w:rsidRDefault="002268A2" w:rsidP="008B5527">
      <w:pPr>
        <w:autoSpaceDE w:val="0"/>
        <w:autoSpaceDN w:val="0"/>
        <w:adjustRightInd w:val="0"/>
        <w:rPr>
          <w:rFonts w:eastAsia="Calibri" w:cs="Times New Roman"/>
          <w:b/>
          <w:bCs/>
          <w:szCs w:val="24"/>
          <w:lang w:eastAsia="en-US"/>
        </w:rPr>
      </w:pPr>
      <w:r w:rsidRPr="00C70752">
        <w:rPr>
          <w:rFonts w:eastAsia="Times New Roman" w:cs="Arial"/>
        </w:rPr>
        <w:t xml:space="preserve">This European Standard has been prepared under a Commission’s standardization request </w:t>
      </w:r>
      <w:bookmarkStart w:id="2" w:name="_Hlk144215891"/>
      <w:bookmarkStart w:id="3" w:name="_Hlk144290607"/>
      <w:r w:rsidR="004F4683" w:rsidRPr="00D2644E">
        <w:rPr>
          <w:rFonts w:eastAsia="Times New Roman" w:cs="Arial"/>
        </w:rPr>
        <w:t>C(202</w:t>
      </w:r>
      <w:r w:rsidR="004F4683" w:rsidRPr="0032228D">
        <w:rPr>
          <w:rFonts w:eastAsia="Calibri" w:cs="Times New Roman"/>
          <w:color w:val="3333FF"/>
          <w:szCs w:val="24"/>
          <w:lang w:eastAsia="en-US"/>
        </w:rPr>
        <w:t>X</w:t>
      </w:r>
      <w:r w:rsidR="004F4683" w:rsidRPr="0032228D">
        <w:rPr>
          <w:rFonts w:eastAsia="Calibri" w:cs="Times New Roman"/>
          <w:szCs w:val="24"/>
          <w:lang w:eastAsia="en-US"/>
        </w:rPr>
        <w:t>)</w:t>
      </w:r>
      <w:r w:rsidR="004F4683" w:rsidRPr="0032228D">
        <w:rPr>
          <w:rFonts w:eastAsia="Calibri" w:cs="Times New Roman"/>
          <w:color w:val="3333FF"/>
          <w:szCs w:val="24"/>
          <w:lang w:eastAsia="en-US"/>
        </w:rPr>
        <w:t>XXX</w:t>
      </w:r>
      <w:r w:rsidR="004F4683">
        <w:rPr>
          <w:rFonts w:eastAsia="Calibri" w:cs="Times New Roman"/>
          <w:color w:val="3333FF"/>
          <w:szCs w:val="24"/>
          <w:lang w:eastAsia="en-US"/>
        </w:rPr>
        <w:t>X</w:t>
      </w:r>
      <w:bookmarkEnd w:id="2"/>
      <w:r w:rsidR="004F4683">
        <w:rPr>
          <w:rFonts w:eastAsia="Calibri" w:cs="Times New Roman"/>
          <w:color w:val="3333FF"/>
          <w:szCs w:val="24"/>
          <w:lang w:eastAsia="en-US"/>
        </w:rPr>
        <w:t xml:space="preserve"> final</w:t>
      </w:r>
      <w:r w:rsidR="004F4683">
        <w:rPr>
          <w:rStyle w:val="FootnoteReference"/>
          <w:rFonts w:eastAsia="Calibri" w:cs="Times New Roman"/>
          <w:color w:val="3333FF"/>
          <w:szCs w:val="24"/>
          <w:lang w:eastAsia="en-US"/>
        </w:rPr>
        <w:footnoteReference w:id="1"/>
      </w:r>
      <w:r w:rsidR="004F4683">
        <w:rPr>
          <w:rFonts w:eastAsia="Calibri" w:cs="Times New Roman"/>
          <w:color w:val="3333FF"/>
          <w:szCs w:val="24"/>
          <w:lang w:eastAsia="en-US"/>
        </w:rPr>
        <w:t xml:space="preserve"> </w:t>
      </w:r>
      <w:bookmarkEnd w:id="3"/>
      <w:r w:rsidR="004F4683" w:rsidRPr="004F4683">
        <w:rPr>
          <w:rFonts w:eastAsia="Times New Roman" w:cs="Arial"/>
        </w:rPr>
        <w:t xml:space="preserve">Commission Implementing Decision </w:t>
      </w:r>
      <w:r w:rsidR="00D40DE3" w:rsidRPr="004F4683">
        <w:rPr>
          <w:rFonts w:eastAsia="Times New Roman" w:cs="Arial"/>
        </w:rPr>
        <w:t>o</w:t>
      </w:r>
      <w:r w:rsidR="00D40DE3">
        <w:rPr>
          <w:rFonts w:eastAsia="Times New Roman" w:cs="Arial"/>
        </w:rPr>
        <w:t>f</w:t>
      </w:r>
      <w:r w:rsidR="00D40DE3">
        <w:rPr>
          <w:rFonts w:eastAsia="Calibri" w:cs="Times New Roman"/>
          <w:color w:val="3333FF"/>
          <w:szCs w:val="24"/>
          <w:lang w:eastAsia="en-US"/>
        </w:rPr>
        <w:t xml:space="preserve"> </w:t>
      </w:r>
      <w:r w:rsidR="00B54686">
        <w:rPr>
          <w:rFonts w:eastAsia="Calibri" w:cs="Times New Roman"/>
          <w:color w:val="3333FF"/>
          <w:szCs w:val="24"/>
          <w:lang w:eastAsia="en-US"/>
        </w:rPr>
        <w:t>DD</w:t>
      </w:r>
      <w:r w:rsidR="004F4683">
        <w:rPr>
          <w:rFonts w:eastAsia="Calibri" w:cs="Times New Roman"/>
          <w:color w:val="3333FF"/>
          <w:szCs w:val="24"/>
          <w:lang w:eastAsia="en-US"/>
        </w:rPr>
        <w:t xml:space="preserve"> Month YYYY</w:t>
      </w:r>
      <w:r w:rsidR="004F4683">
        <w:rPr>
          <w:rStyle w:val="FootnoteReference"/>
          <w:rFonts w:eastAsia="Calibri" w:cs="Times New Roman"/>
          <w:szCs w:val="24"/>
          <w:lang w:eastAsia="en-US"/>
        </w:rPr>
        <w:footnoteReference w:id="2"/>
      </w:r>
      <w:r w:rsidR="004F4683">
        <w:rPr>
          <w:rFonts w:eastAsia="Calibri" w:cs="Times New Roman"/>
          <w:color w:val="3333FF"/>
          <w:szCs w:val="24"/>
          <w:lang w:eastAsia="en-US"/>
        </w:rPr>
        <w:t xml:space="preserve"> </w:t>
      </w:r>
      <w:r w:rsidR="008B5527" w:rsidRPr="00A73A76">
        <w:rPr>
          <w:rFonts w:eastAsia="Times New Roman" w:cs="Arial"/>
        </w:rPr>
        <w:t>to the European Committee for Standardization and to the European Committee for Electrotechnical Standardization as regards machinery in support of Regulation (EU) 2023/1230 of the European Parliament and of the Council</w:t>
      </w:r>
      <w:r w:rsidR="004F4683">
        <w:rPr>
          <w:rFonts w:eastAsia="Times New Roman" w:cs="Arial"/>
        </w:rPr>
        <w:t xml:space="preserve"> (</w:t>
      </w:r>
      <w:r w:rsidR="006B66A9" w:rsidRPr="002F7A1D">
        <w:rPr>
          <w:rFonts w:eastAsia="Calibri" w:cs="Times New Roman"/>
          <w:szCs w:val="24"/>
          <w:lang w:eastAsia="en-US"/>
        </w:rPr>
        <w:t>M/</w:t>
      </w:r>
      <w:r w:rsidR="006B66A9">
        <w:rPr>
          <w:rFonts w:eastAsia="Calibri" w:cs="Times New Roman"/>
          <w:color w:val="3333FF"/>
          <w:szCs w:val="24"/>
          <w:lang w:eastAsia="en-US"/>
        </w:rPr>
        <w:t>XXX</w:t>
      </w:r>
      <w:r w:rsidR="006B66A9" w:rsidRPr="002F7A1D">
        <w:rPr>
          <w:rFonts w:eastAsia="Calibri" w:cs="Times New Roman"/>
          <w:szCs w:val="24"/>
          <w:lang w:eastAsia="en-US"/>
        </w:rPr>
        <w:t>)</w:t>
      </w:r>
      <w:r w:rsidR="004F4683">
        <w:rPr>
          <w:rStyle w:val="FootnoteReference"/>
          <w:rFonts w:eastAsia="Calibri" w:cs="Times New Roman"/>
          <w:szCs w:val="24"/>
          <w:lang w:eastAsia="en-US"/>
        </w:rPr>
        <w:footnoteReference w:id="3"/>
      </w:r>
      <w:r w:rsidR="006B66A9">
        <w:rPr>
          <w:rFonts w:eastAsia="Calibri" w:cs="Times New Roman"/>
          <w:szCs w:val="24"/>
          <w:lang w:eastAsia="en-US"/>
        </w:rPr>
        <w:t xml:space="preserve"> </w:t>
      </w:r>
      <w:r w:rsidRPr="00C70752">
        <w:rPr>
          <w:rFonts w:eastAsia="Times New Roman" w:cs="Arial"/>
        </w:rPr>
        <w:t xml:space="preserve">to provide one voluntary means of conforming to essential requirements of </w:t>
      </w:r>
      <w:r w:rsidR="00D2644E" w:rsidRPr="00D2644E">
        <w:rPr>
          <w:rFonts w:eastAsia="Times New Roman" w:cs="Arial"/>
        </w:rPr>
        <w:t>Regulation (EU) 2023/1230 of the European Parliament and of the Council of 14 June 2023 on machinery</w:t>
      </w:r>
      <w:r w:rsidR="00583F3D">
        <w:rPr>
          <w:rFonts w:eastAsia="Times New Roman" w:cs="Arial"/>
        </w:rPr>
        <w:t xml:space="preserve"> (</w:t>
      </w:r>
      <w:r w:rsidR="00583F3D" w:rsidRPr="00990375">
        <w:rPr>
          <w:rFonts w:eastAsia="Times New Roman" w:cs="Arial"/>
        </w:rPr>
        <w:t>OJ L 165, 29.6.2023)</w:t>
      </w:r>
      <w:r w:rsidR="00E8411B">
        <w:rPr>
          <w:rFonts w:eastAsia="Times New Roman" w:cs="Arial"/>
        </w:rPr>
        <w:t>.</w:t>
      </w:r>
    </w:p>
    <w:p w14:paraId="24A20479" w14:textId="373BEB23" w:rsidR="002268A2" w:rsidRPr="00C70752" w:rsidRDefault="002268A2" w:rsidP="002268A2">
      <w:pPr>
        <w:rPr>
          <w:rFonts w:eastAsia="Times New Roman" w:cs="Arial"/>
        </w:rPr>
      </w:pPr>
      <w:r w:rsidRPr="00C70752">
        <w:rPr>
          <w:rFonts w:eastAsia="Times New Roman" w:cs="Arial"/>
        </w:rPr>
        <w:t xml:space="preserve">Once this standard is cited in the Official Journal of the European Union under that </w:t>
      </w:r>
      <w:r w:rsidR="00D2644E">
        <w:rPr>
          <w:rFonts w:eastAsia="Times New Roman" w:cs="Arial"/>
        </w:rPr>
        <w:t>Regulation</w:t>
      </w:r>
      <w:r w:rsidRPr="00C70752">
        <w:rPr>
          <w:rFonts w:eastAsia="Times New Roman" w:cs="Arial"/>
        </w:rPr>
        <w:t>, compliance with the normative clauses of</w:t>
      </w:r>
      <w:r w:rsidR="00287889">
        <w:rPr>
          <w:rFonts w:eastAsia="Times New Roman" w:cs="Arial"/>
        </w:rPr>
        <w:t xml:space="preserve"> this standard given in Table Z...</w:t>
      </w:r>
      <w:r w:rsidRPr="00C70752">
        <w:rPr>
          <w:rFonts w:eastAsia="Times New Roman" w:cs="Arial"/>
        </w:rPr>
        <w:t xml:space="preserve">.1 confers, within the limits of the scope of this standard, a presumption of conformity with the corresponding essential requirements of that </w:t>
      </w:r>
      <w:r w:rsidR="00A22F7E">
        <w:rPr>
          <w:rFonts w:eastAsia="Times New Roman" w:cs="Arial"/>
        </w:rPr>
        <w:t>Regulation</w:t>
      </w:r>
      <w:r w:rsidRPr="00C70752">
        <w:rPr>
          <w:rFonts w:eastAsia="Times New Roman" w:cs="Arial"/>
        </w:rPr>
        <w:t>, and associated EFTA regulations.</w:t>
      </w:r>
    </w:p>
    <w:p w14:paraId="76924C47" w14:textId="5A0FE601" w:rsidR="002268A2" w:rsidRPr="00C70752" w:rsidRDefault="002268A2" w:rsidP="002268A2">
      <w:pPr>
        <w:pStyle w:val="Tabletitle"/>
      </w:pPr>
      <w:r w:rsidRPr="00C70752">
        <w:t>T</w:t>
      </w:r>
      <w:r w:rsidR="00287889">
        <w:t>able Z….</w:t>
      </w:r>
      <w:r w:rsidRPr="00C70752">
        <w:t xml:space="preserve">1 — Correspondence between this European Standard and </w:t>
      </w:r>
      <w:r w:rsidR="00287889">
        <w:t>Annex I</w:t>
      </w:r>
      <w:r w:rsidR="00D2644E">
        <w:t>II</w:t>
      </w:r>
      <w:r w:rsidR="00287889">
        <w:t xml:space="preserve"> of </w:t>
      </w:r>
      <w:r w:rsidR="00D2644E" w:rsidRPr="00D2644E">
        <w:t>Regulation (EU) 2023/1230</w:t>
      </w:r>
    </w:p>
    <w:tbl>
      <w:tblPr>
        <w:tblW w:w="97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251"/>
        <w:gridCol w:w="3251"/>
      </w:tblGrid>
      <w:tr w:rsidR="00813DCB" w:rsidRPr="00C70752" w14:paraId="68576335" w14:textId="77777777" w:rsidTr="00813DCB">
        <w:tc>
          <w:tcPr>
            <w:tcW w:w="3250" w:type="dxa"/>
            <w:tcBorders>
              <w:top w:val="single" w:sz="12" w:space="0" w:color="000000"/>
              <w:bottom w:val="single" w:sz="12" w:space="0" w:color="000000"/>
              <w:tl2br w:val="nil"/>
            </w:tcBorders>
            <w:shd w:val="clear" w:color="auto" w:fill="auto"/>
          </w:tcPr>
          <w:p w14:paraId="65853414" w14:textId="0D4B713B" w:rsidR="002268A2" w:rsidRPr="00813DCB" w:rsidRDefault="007C67CF" w:rsidP="00813DCB">
            <w:pPr>
              <w:pStyle w:val="Tabletext10"/>
              <w:jc w:val="left"/>
              <w:rPr>
                <w:rFonts w:eastAsia="Times New Roman" w:cs="Arial"/>
                <w:b/>
              </w:rPr>
            </w:pPr>
            <w:r w:rsidRPr="00813DCB">
              <w:rPr>
                <w:rFonts w:eastAsia="Times New Roman" w:cs="Arial"/>
                <w:b/>
              </w:rPr>
              <w:t xml:space="preserve">The relevant </w:t>
            </w:r>
            <w:r w:rsidR="002268A2" w:rsidRPr="00813DCB">
              <w:rPr>
                <w:rFonts w:eastAsia="Times New Roman" w:cs="Arial"/>
                <w:b/>
              </w:rPr>
              <w:t xml:space="preserve">Essential Requirements of </w:t>
            </w:r>
            <w:r w:rsidR="00D2644E">
              <w:rPr>
                <w:rFonts w:eastAsia="Times New Roman" w:cs="Arial"/>
                <w:b/>
              </w:rPr>
              <w:t>Regulation</w:t>
            </w:r>
            <w:r w:rsidR="002268A2" w:rsidRPr="00813DCB">
              <w:rPr>
                <w:rFonts w:eastAsia="Times New Roman" w:cs="Arial"/>
                <w:b/>
              </w:rPr>
              <w:t xml:space="preserve"> </w:t>
            </w:r>
            <w:r w:rsidR="00D2644E" w:rsidRPr="00D2644E">
              <w:rPr>
                <w:rFonts w:eastAsia="Times New Roman" w:cs="Arial"/>
                <w:b/>
              </w:rPr>
              <w:t>(EU) 2023/1230</w:t>
            </w:r>
          </w:p>
          <w:p w14:paraId="422BDFDF" w14:textId="77777777" w:rsidR="00F369E3" w:rsidRPr="00813DCB" w:rsidRDefault="00F369E3" w:rsidP="00813DCB">
            <w:pPr>
              <w:pStyle w:val="Tabletext10"/>
              <w:jc w:val="left"/>
              <w:rPr>
                <w:b/>
              </w:rPr>
            </w:pPr>
          </w:p>
        </w:tc>
        <w:tc>
          <w:tcPr>
            <w:tcW w:w="3251" w:type="dxa"/>
            <w:tcBorders>
              <w:bottom w:val="single" w:sz="12" w:space="0" w:color="000000"/>
            </w:tcBorders>
            <w:shd w:val="clear" w:color="auto" w:fill="auto"/>
          </w:tcPr>
          <w:p w14:paraId="28384A7A" w14:textId="77777777" w:rsidR="002268A2" w:rsidRPr="00813DCB" w:rsidRDefault="002268A2" w:rsidP="00813DCB">
            <w:pPr>
              <w:pStyle w:val="Tabletext10"/>
              <w:jc w:val="left"/>
              <w:rPr>
                <w:b/>
              </w:rPr>
            </w:pPr>
            <w:r w:rsidRPr="00813DCB">
              <w:rPr>
                <w:rFonts w:eastAsia="Times New Roman" w:cs="Arial"/>
                <w:b/>
              </w:rPr>
              <w:t>Clause(s)/sub-clause(s) of this EN</w:t>
            </w:r>
          </w:p>
        </w:tc>
        <w:tc>
          <w:tcPr>
            <w:tcW w:w="3251" w:type="dxa"/>
            <w:tcBorders>
              <w:bottom w:val="single" w:sz="12" w:space="0" w:color="000000"/>
            </w:tcBorders>
            <w:shd w:val="clear" w:color="auto" w:fill="auto"/>
          </w:tcPr>
          <w:p w14:paraId="128DE358" w14:textId="77777777" w:rsidR="002268A2" w:rsidRPr="00813DCB" w:rsidRDefault="002268A2" w:rsidP="00813DCB">
            <w:pPr>
              <w:pStyle w:val="Tabletext10"/>
              <w:jc w:val="left"/>
              <w:rPr>
                <w:b/>
              </w:rPr>
            </w:pPr>
            <w:r w:rsidRPr="00813DCB">
              <w:rPr>
                <w:b/>
              </w:rPr>
              <w:t>Remarks/Notes</w:t>
            </w:r>
          </w:p>
        </w:tc>
      </w:tr>
      <w:tr w:rsidR="003631A8" w:rsidRPr="003631A8" w14:paraId="33D131AF" w14:textId="77777777" w:rsidTr="00813DCB">
        <w:trPr>
          <w:trHeight w:val="285"/>
        </w:trPr>
        <w:tc>
          <w:tcPr>
            <w:tcW w:w="3250" w:type="dxa"/>
            <w:shd w:val="clear" w:color="auto" w:fill="auto"/>
            <w:hideMark/>
          </w:tcPr>
          <w:p w14:paraId="7B85E9F4" w14:textId="77777777" w:rsidR="003631A8" w:rsidRPr="00813DCB" w:rsidRDefault="00565FEA" w:rsidP="00813DCB">
            <w:pPr>
              <w:spacing w:after="0" w:line="240" w:lineRule="auto"/>
              <w:jc w:val="left"/>
              <w:rPr>
                <w:rFonts w:eastAsia="Times New Roman" w:cs="Arial"/>
                <w:color w:val="000000"/>
                <w:sz w:val="20"/>
                <w:szCs w:val="22"/>
                <w:lang w:eastAsia="de-DE"/>
              </w:rPr>
            </w:pPr>
            <w:r w:rsidRPr="00813DCB">
              <w:rPr>
                <w:rFonts w:eastAsia="Times New Roman" w:cs="Arial"/>
                <w:i/>
                <w:sz w:val="20"/>
                <w:szCs w:val="22"/>
                <w:lang w:eastAsia="de-DE"/>
              </w:rPr>
              <w:t>[Per row: an essential requirement]</w:t>
            </w:r>
          </w:p>
        </w:tc>
        <w:tc>
          <w:tcPr>
            <w:tcW w:w="3251" w:type="dxa"/>
            <w:shd w:val="clear" w:color="auto" w:fill="auto"/>
            <w:hideMark/>
          </w:tcPr>
          <w:p w14:paraId="5B6D1F97" w14:textId="77777777" w:rsidR="003631A8" w:rsidRPr="00813DCB" w:rsidRDefault="00565FEA" w:rsidP="00813DCB">
            <w:pPr>
              <w:spacing w:after="0" w:line="240" w:lineRule="auto"/>
              <w:jc w:val="left"/>
              <w:rPr>
                <w:rFonts w:eastAsia="Times New Roman" w:cs="Arial"/>
                <w:color w:val="000000"/>
                <w:sz w:val="20"/>
                <w:szCs w:val="22"/>
                <w:lang w:eastAsia="de-DE"/>
              </w:rPr>
            </w:pPr>
            <w:r w:rsidRPr="00813DCB">
              <w:rPr>
                <w:rFonts w:eastAsia="Times New Roman" w:cs="Arial"/>
                <w:color w:val="000000"/>
                <w:sz w:val="20"/>
                <w:szCs w:val="22"/>
                <w:lang w:eastAsia="de-DE"/>
              </w:rPr>
              <w:t>[The relevant normative clauses linked to the individual essential requirement]</w:t>
            </w:r>
          </w:p>
        </w:tc>
        <w:tc>
          <w:tcPr>
            <w:tcW w:w="3251" w:type="dxa"/>
            <w:shd w:val="clear" w:color="auto" w:fill="auto"/>
            <w:noWrap/>
            <w:hideMark/>
          </w:tcPr>
          <w:p w14:paraId="0461B7B4" w14:textId="77777777" w:rsidR="003631A8" w:rsidRPr="00813DCB" w:rsidRDefault="003631A8" w:rsidP="00813DCB">
            <w:pPr>
              <w:spacing w:after="0" w:line="240" w:lineRule="auto"/>
              <w:jc w:val="left"/>
              <w:rPr>
                <w:rFonts w:eastAsia="Times New Roman" w:cs="Arial"/>
                <w:color w:val="000000"/>
                <w:sz w:val="20"/>
                <w:szCs w:val="22"/>
                <w:lang w:eastAsia="de-DE"/>
              </w:rPr>
            </w:pPr>
            <w:r w:rsidRPr="00813DCB">
              <w:rPr>
                <w:rFonts w:eastAsia="Times New Roman" w:cs="Arial"/>
                <w:color w:val="000000"/>
                <w:sz w:val="20"/>
                <w:szCs w:val="22"/>
                <w:lang w:eastAsia="de-DE"/>
              </w:rPr>
              <w:t> </w:t>
            </w:r>
          </w:p>
        </w:tc>
      </w:tr>
      <w:tr w:rsidR="00F369E3" w:rsidRPr="003631A8" w14:paraId="342E625B" w14:textId="77777777" w:rsidTr="00813DCB">
        <w:trPr>
          <w:trHeight w:val="570"/>
        </w:trPr>
        <w:tc>
          <w:tcPr>
            <w:tcW w:w="3250" w:type="dxa"/>
            <w:shd w:val="clear" w:color="auto" w:fill="auto"/>
          </w:tcPr>
          <w:p w14:paraId="7B6BD060" w14:textId="77777777" w:rsidR="00F369E3" w:rsidRPr="00813DCB" w:rsidRDefault="00565FEA" w:rsidP="00813DCB">
            <w:pPr>
              <w:spacing w:after="0" w:line="240" w:lineRule="auto"/>
              <w:jc w:val="left"/>
              <w:rPr>
                <w:rFonts w:eastAsia="Times New Roman" w:cs="Arial"/>
                <w:color w:val="FF0000"/>
                <w:sz w:val="20"/>
                <w:szCs w:val="22"/>
                <w:lang w:eastAsia="de-DE"/>
              </w:rPr>
            </w:pPr>
            <w:r w:rsidRPr="00813DCB">
              <w:rPr>
                <w:rFonts w:eastAsia="Times New Roman" w:cs="Arial"/>
                <w:i/>
                <w:color w:val="FF0000"/>
                <w:sz w:val="20"/>
                <w:szCs w:val="22"/>
                <w:lang w:eastAsia="de-DE"/>
              </w:rPr>
              <w:t>[Per row: an essential requirement]</w:t>
            </w:r>
          </w:p>
        </w:tc>
        <w:tc>
          <w:tcPr>
            <w:tcW w:w="3251" w:type="dxa"/>
            <w:shd w:val="clear" w:color="auto" w:fill="auto"/>
          </w:tcPr>
          <w:p w14:paraId="7225EFDA" w14:textId="77777777" w:rsidR="00F369E3" w:rsidRPr="00813DCB" w:rsidRDefault="00F369E3" w:rsidP="00813DCB">
            <w:pPr>
              <w:spacing w:after="0" w:line="240" w:lineRule="auto"/>
              <w:jc w:val="left"/>
              <w:rPr>
                <w:rFonts w:eastAsia="Times New Roman" w:cs="Arial"/>
                <w:b/>
                <w:color w:val="000000"/>
                <w:sz w:val="20"/>
                <w:szCs w:val="22"/>
                <w:lang w:val="de-DE" w:eastAsia="de-DE"/>
              </w:rPr>
            </w:pPr>
            <w:r w:rsidRPr="00813DCB">
              <w:rPr>
                <w:rFonts w:eastAsia="Times New Roman" w:cs="Arial"/>
                <w:b/>
                <w:color w:val="FF0000"/>
                <w:sz w:val="20"/>
                <w:szCs w:val="22"/>
                <w:lang w:val="de-DE" w:eastAsia="de-DE"/>
              </w:rPr>
              <w:t>-</w:t>
            </w:r>
          </w:p>
        </w:tc>
        <w:tc>
          <w:tcPr>
            <w:tcW w:w="3251" w:type="dxa"/>
            <w:shd w:val="clear" w:color="auto" w:fill="auto"/>
            <w:noWrap/>
          </w:tcPr>
          <w:p w14:paraId="346F7D80" w14:textId="77777777" w:rsidR="00F369E3" w:rsidRPr="00813DCB" w:rsidRDefault="00F369E3" w:rsidP="00813DCB">
            <w:pPr>
              <w:spacing w:after="0" w:line="240" w:lineRule="auto"/>
              <w:jc w:val="left"/>
              <w:rPr>
                <w:rFonts w:eastAsia="Times New Roman" w:cs="Arial"/>
                <w:color w:val="000000"/>
                <w:sz w:val="20"/>
                <w:szCs w:val="22"/>
                <w:lang w:val="de-DE" w:eastAsia="de-DE"/>
              </w:rPr>
            </w:pPr>
            <w:r w:rsidRPr="00813DCB">
              <w:rPr>
                <w:rFonts w:eastAsia="Times New Roman" w:cs="Arial"/>
                <w:color w:val="FF0000"/>
                <w:sz w:val="20"/>
                <w:szCs w:val="22"/>
                <w:lang w:val="de-DE" w:eastAsia="de-DE"/>
              </w:rPr>
              <w:t>not covered</w:t>
            </w:r>
          </w:p>
        </w:tc>
      </w:tr>
    </w:tbl>
    <w:p w14:paraId="72800224" w14:textId="77777777" w:rsidR="002268A2" w:rsidRPr="00C70752" w:rsidRDefault="002268A2" w:rsidP="002268A2">
      <w:pPr>
        <w:rPr>
          <w:b/>
        </w:rPr>
      </w:pPr>
    </w:p>
    <w:p w14:paraId="33DF0B0D" w14:textId="77777777" w:rsidR="002268A2" w:rsidRPr="00C70752" w:rsidRDefault="002268A2" w:rsidP="002268A2">
      <w:r w:rsidRPr="00C70752">
        <w:rPr>
          <w:b/>
        </w:rPr>
        <w:lastRenderedPageBreak/>
        <w:t xml:space="preserve">WARNING 1 — </w:t>
      </w:r>
      <w:r w:rsidRPr="00C70752">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0EB7C1D3" w14:textId="77777777" w:rsidR="002268A2" w:rsidRPr="00C70752" w:rsidRDefault="002268A2" w:rsidP="002268A2">
      <w:r w:rsidRPr="00C70752">
        <w:rPr>
          <w:b/>
        </w:rPr>
        <w:t xml:space="preserve">WARNING 2 — </w:t>
      </w:r>
      <w:r w:rsidRPr="00C70752">
        <w:t>Other Union legislation may be applicable to the product(s) falling within the scope of this standard.</w:t>
      </w:r>
    </w:p>
    <w:p w14:paraId="3A9375CC" w14:textId="77777777" w:rsidR="000D00E1" w:rsidRPr="00873BC9" w:rsidRDefault="000D00E1" w:rsidP="00873BC9"/>
    <w:sectPr w:rsidR="000D00E1" w:rsidRPr="00873BC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16B7" w14:textId="77777777" w:rsidR="0054164D" w:rsidRDefault="0054164D" w:rsidP="002268A2">
      <w:pPr>
        <w:spacing w:after="0" w:line="240" w:lineRule="auto"/>
      </w:pPr>
      <w:r>
        <w:separator/>
      </w:r>
    </w:p>
  </w:endnote>
  <w:endnote w:type="continuationSeparator" w:id="0">
    <w:p w14:paraId="5C808804" w14:textId="77777777" w:rsidR="0054164D" w:rsidRDefault="0054164D"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0FAB" w14:textId="77777777" w:rsidR="0054164D" w:rsidRDefault="0054164D" w:rsidP="002268A2">
      <w:pPr>
        <w:spacing w:after="0" w:line="240" w:lineRule="auto"/>
      </w:pPr>
      <w:r>
        <w:separator/>
      </w:r>
    </w:p>
  </w:footnote>
  <w:footnote w:type="continuationSeparator" w:id="0">
    <w:p w14:paraId="46AFD7D8" w14:textId="77777777" w:rsidR="0054164D" w:rsidRDefault="0054164D" w:rsidP="002268A2">
      <w:pPr>
        <w:spacing w:after="0" w:line="240" w:lineRule="auto"/>
      </w:pPr>
      <w:r>
        <w:continuationSeparator/>
      </w:r>
    </w:p>
  </w:footnote>
  <w:footnote w:id="1">
    <w:p w14:paraId="4D37F284" w14:textId="77777777" w:rsidR="004F4683" w:rsidRPr="009476CB" w:rsidRDefault="004F4683" w:rsidP="004F4683">
      <w:pPr>
        <w:pStyle w:val="FootnoteText"/>
        <w:rPr>
          <w:lang w:val="en-US"/>
        </w:rPr>
      </w:pPr>
    </w:p>
  </w:footnote>
  <w:footnote w:id="2">
    <w:p w14:paraId="7F7DD8EC" w14:textId="004853B4" w:rsidR="004F4683" w:rsidRPr="00927D88" w:rsidRDefault="00B54686" w:rsidP="004F4683">
      <w:pPr>
        <w:rPr>
          <w:sz w:val="20"/>
        </w:rPr>
      </w:pPr>
      <w:r>
        <w:rPr>
          <w:rStyle w:val="FootnoteReference"/>
        </w:rPr>
        <w:t>1</w:t>
      </w:r>
      <w:r w:rsidR="004F4683">
        <w:t xml:space="preserve"> </w:t>
      </w:r>
      <w:r w:rsidR="004F4683">
        <w:rPr>
          <w:rStyle w:val="FootnoteReference"/>
        </w:rPr>
        <w:t>2</w:t>
      </w:r>
      <w:r w:rsidR="004F4683">
        <w:t xml:space="preserve"> </w:t>
      </w:r>
      <w:r w:rsidRPr="00B54686">
        <w:rPr>
          <w:rStyle w:val="FootnoteReference"/>
        </w:rPr>
        <w:t>3</w:t>
      </w:r>
      <w:r>
        <w:t xml:space="preserve"> </w:t>
      </w:r>
      <w:r w:rsidR="004F4683" w:rsidRPr="009476CB">
        <w:rPr>
          <w:sz w:val="20"/>
        </w:rPr>
        <w:t>T</w:t>
      </w:r>
      <w:r w:rsidR="004F4683" w:rsidRPr="00927D88">
        <w:rPr>
          <w:sz w:val="20"/>
        </w:rPr>
        <w:t xml:space="preserve">his template is to be used in </w:t>
      </w:r>
      <w:r w:rsidR="004F4683" w:rsidRPr="00927D88">
        <w:rPr>
          <w:sz w:val="20"/>
          <w:u w:val="single"/>
        </w:rPr>
        <w:t>draft</w:t>
      </w:r>
      <w:r w:rsidR="004F4683" w:rsidRPr="00927D88">
        <w:rPr>
          <w:sz w:val="20"/>
        </w:rPr>
        <w:t xml:space="preserve"> harmonised standards in support of the Machinery Regulation. </w:t>
      </w:r>
    </w:p>
    <w:p w14:paraId="19F7C634" w14:textId="5EE5438C" w:rsidR="004F4683" w:rsidRPr="009476CB" w:rsidRDefault="004F4683" w:rsidP="004F4683">
      <w:pPr>
        <w:rPr>
          <w:sz w:val="20"/>
        </w:rPr>
      </w:pPr>
      <w:r w:rsidRPr="009476CB">
        <w:rPr>
          <w:sz w:val="20"/>
        </w:rPr>
        <w:t>Since the Standardization Request in support of Machinery Regulation is not yet adopted (expected to take place in 2024 and then accepted by CEN and CENELEC BTs) the reference</w:t>
      </w:r>
      <w:r w:rsidR="00B54686">
        <w:rPr>
          <w:sz w:val="20"/>
        </w:rPr>
        <w:t xml:space="preserve"> and the date</w:t>
      </w:r>
      <w:r w:rsidRPr="009476CB">
        <w:rPr>
          <w:sz w:val="20"/>
        </w:rPr>
        <w:t xml:space="preserve"> of the Standardization Request </w:t>
      </w:r>
      <w:r w:rsidR="00DD1172">
        <w:rPr>
          <w:sz w:val="20"/>
        </w:rPr>
        <w:t>are</w:t>
      </w:r>
      <w:r w:rsidRPr="009476CB">
        <w:rPr>
          <w:sz w:val="20"/>
        </w:rPr>
        <w:t xml:space="preserve"> not known and therefore the references shall be kept as </w:t>
      </w:r>
      <w:r w:rsidR="00B54686">
        <w:rPr>
          <w:sz w:val="20"/>
        </w:rPr>
        <w:t>‘</w:t>
      </w:r>
      <w:r w:rsidRPr="009476CB">
        <w:rPr>
          <w:sz w:val="20"/>
        </w:rPr>
        <w:t>C(202X)XXXX’</w:t>
      </w:r>
      <w:r w:rsidR="00B54686">
        <w:rPr>
          <w:sz w:val="20"/>
        </w:rPr>
        <w:t>, ‘</w:t>
      </w:r>
      <w:r w:rsidR="00B54686" w:rsidRPr="00B54686">
        <w:rPr>
          <w:sz w:val="20"/>
        </w:rPr>
        <w:t>DD Month YYYY</w:t>
      </w:r>
      <w:r w:rsidR="00B54686">
        <w:rPr>
          <w:sz w:val="20"/>
        </w:rPr>
        <w:t xml:space="preserve">’ and </w:t>
      </w:r>
      <w:r w:rsidR="00B54686" w:rsidRPr="009476CB">
        <w:rPr>
          <w:sz w:val="20"/>
        </w:rPr>
        <w:t>‘M/XXX’</w:t>
      </w:r>
      <w:r w:rsidR="00B54686">
        <w:rPr>
          <w:sz w:val="20"/>
        </w:rPr>
        <w:t>.</w:t>
      </w:r>
    </w:p>
    <w:p w14:paraId="517B8518" w14:textId="0D4E2BD4" w:rsidR="004F4683" w:rsidRPr="009476CB" w:rsidRDefault="004F4683" w:rsidP="004F4683">
      <w:pPr>
        <w:pStyle w:val="FootnoteText"/>
        <w:rPr>
          <w:lang w:val="en-US"/>
        </w:rPr>
      </w:pPr>
      <w:r w:rsidRPr="00927D88">
        <w:t>When the S</w:t>
      </w:r>
      <w:r w:rsidRPr="009476CB">
        <w:t>tandardization Request</w:t>
      </w:r>
      <w:r w:rsidRPr="00927D88">
        <w:t xml:space="preserve"> is adopted</w:t>
      </w:r>
      <w:r w:rsidRPr="009476CB">
        <w:t>,</w:t>
      </w:r>
      <w:r w:rsidRPr="00927D88">
        <w:t xml:space="preserve"> this template will be revised to include the number references </w:t>
      </w:r>
      <w:r w:rsidR="00DD1172">
        <w:t xml:space="preserve">and the date </w:t>
      </w:r>
      <w:r w:rsidRPr="00927D88">
        <w:t>of the</w:t>
      </w:r>
      <w:r w:rsidRPr="009476CB">
        <w:t xml:space="preserve"> adopted </w:t>
      </w:r>
      <w:r w:rsidRPr="00927D88">
        <w:t>Standardization Request</w:t>
      </w:r>
      <w:r w:rsidRPr="009476CB">
        <w:t>.</w:t>
      </w:r>
    </w:p>
  </w:footnote>
  <w:footnote w:id="3">
    <w:p w14:paraId="45A48899" w14:textId="71B43A85" w:rsidR="004F4683" w:rsidRPr="004F4683" w:rsidRDefault="004F468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1"/>
      <w:suff w:val="space"/>
      <w:lvlText w:val="Tabelle Z%1.%9"/>
      <w:lvlJc w:val="left"/>
      <w:pPr>
        <w:ind w:left="0" w:firstLine="0"/>
      </w:pPr>
      <w:rPr>
        <w:rFonts w:hint="default"/>
      </w:rPr>
    </w:lvl>
  </w:abstractNum>
  <w:num w:numId="1" w16cid:durableId="200635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2268A2"/>
    <w:rsid w:val="00096205"/>
    <w:rsid w:val="000D00E1"/>
    <w:rsid w:val="001007BF"/>
    <w:rsid w:val="001677AD"/>
    <w:rsid w:val="002268A2"/>
    <w:rsid w:val="0023194D"/>
    <w:rsid w:val="00240317"/>
    <w:rsid w:val="002424ED"/>
    <w:rsid w:val="00281F2B"/>
    <w:rsid w:val="00283DC0"/>
    <w:rsid w:val="00287889"/>
    <w:rsid w:val="002F7A1D"/>
    <w:rsid w:val="00300464"/>
    <w:rsid w:val="0032228D"/>
    <w:rsid w:val="003631A8"/>
    <w:rsid w:val="0039381A"/>
    <w:rsid w:val="003C02BD"/>
    <w:rsid w:val="003D4916"/>
    <w:rsid w:val="00417608"/>
    <w:rsid w:val="00427F48"/>
    <w:rsid w:val="00465AE1"/>
    <w:rsid w:val="00473BFB"/>
    <w:rsid w:val="004F4683"/>
    <w:rsid w:val="00525B5A"/>
    <w:rsid w:val="0054164D"/>
    <w:rsid w:val="005538C7"/>
    <w:rsid w:val="00565FEA"/>
    <w:rsid w:val="00583F3D"/>
    <w:rsid w:val="005B31C9"/>
    <w:rsid w:val="006A41D4"/>
    <w:rsid w:val="006B66A9"/>
    <w:rsid w:val="00705F12"/>
    <w:rsid w:val="007836D9"/>
    <w:rsid w:val="00784EF0"/>
    <w:rsid w:val="007B00CE"/>
    <w:rsid w:val="007C67CF"/>
    <w:rsid w:val="00813DCB"/>
    <w:rsid w:val="00843716"/>
    <w:rsid w:val="008531E8"/>
    <w:rsid w:val="00873BC9"/>
    <w:rsid w:val="008B5527"/>
    <w:rsid w:val="008C72FF"/>
    <w:rsid w:val="008E00E3"/>
    <w:rsid w:val="009225F7"/>
    <w:rsid w:val="009476CB"/>
    <w:rsid w:val="00950FF2"/>
    <w:rsid w:val="009512FB"/>
    <w:rsid w:val="00983CDE"/>
    <w:rsid w:val="00990375"/>
    <w:rsid w:val="009E09CE"/>
    <w:rsid w:val="00A22F7E"/>
    <w:rsid w:val="00A73A76"/>
    <w:rsid w:val="00AB3D3E"/>
    <w:rsid w:val="00B2606B"/>
    <w:rsid w:val="00B36584"/>
    <w:rsid w:val="00B54686"/>
    <w:rsid w:val="00B87161"/>
    <w:rsid w:val="00BE10E1"/>
    <w:rsid w:val="00BE3E46"/>
    <w:rsid w:val="00C41682"/>
    <w:rsid w:val="00C70F9E"/>
    <w:rsid w:val="00D2644E"/>
    <w:rsid w:val="00D40DE3"/>
    <w:rsid w:val="00D50843"/>
    <w:rsid w:val="00D942F1"/>
    <w:rsid w:val="00DA70D9"/>
    <w:rsid w:val="00DD1172"/>
    <w:rsid w:val="00DD3D48"/>
    <w:rsid w:val="00E8411B"/>
    <w:rsid w:val="00EA6566"/>
    <w:rsid w:val="00F01829"/>
    <w:rsid w:val="00F0667E"/>
    <w:rsid w:val="00F369E3"/>
    <w:rsid w:val="00F51249"/>
    <w:rsid w:val="00F60D97"/>
    <w:rsid w:val="00FD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6840"/>
  <w15:chartTrackingRefBased/>
  <w15:docId w15:val="{2E711A75-4291-4C2C-9EBE-7B6A1A4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EF0"/>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link w:val="Header"/>
    <w:uiPriority w:val="99"/>
    <w:rsid w:val="00784EF0"/>
    <w:rPr>
      <w:rFonts w:ascii="Cambria" w:eastAsia="MS Mincho" w:hAnsi="Cambria" w:cs="Cambria"/>
      <w:szCs w:val="20"/>
      <w:lang w:val="en-GB"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link w:val="Footer"/>
    <w:uiPriority w:val="99"/>
    <w:rsid w:val="00784EF0"/>
    <w:rPr>
      <w:rFonts w:ascii="Cambria" w:eastAsia="MS Mincho" w:hAnsi="Cambria" w:cs="Cambria"/>
      <w:szCs w:val="20"/>
      <w:lang w:val="en-GB" w:eastAsia="fr-FR"/>
    </w:rPr>
  </w:style>
  <w:style w:type="character" w:styleId="CommentReference">
    <w:name w:val="annotation reference"/>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link w:val="CommentText"/>
    <w:uiPriority w:val="99"/>
    <w:semiHidden/>
    <w:rsid w:val="00FD298E"/>
    <w:rPr>
      <w:rFonts w:ascii="Cambria" w:eastAsia="MS Mincho" w:hAnsi="Cambria" w:cs="Cambria"/>
      <w:sz w:val="20"/>
      <w:szCs w:val="20"/>
      <w:lang w:val="en-GB"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link w:val="CommentSubject"/>
    <w:uiPriority w:val="99"/>
    <w:semiHidden/>
    <w:rsid w:val="00FD298E"/>
    <w:rPr>
      <w:rFonts w:ascii="Cambria" w:eastAsia="MS Mincho" w:hAnsi="Cambria" w:cs="Cambria"/>
      <w:b/>
      <w:bCs/>
      <w:sz w:val="20"/>
      <w:szCs w:val="20"/>
      <w:lang w:val="en-GB" w:eastAsia="fr-FR"/>
    </w:rPr>
  </w:style>
  <w:style w:type="paragraph" w:styleId="Revision">
    <w:name w:val="Revision"/>
    <w:hidden/>
    <w:uiPriority w:val="99"/>
    <w:semiHidden/>
    <w:rsid w:val="00B36584"/>
    <w:rPr>
      <w:rFonts w:ascii="Cambria" w:eastAsia="MS Mincho" w:hAnsi="Cambria" w:cs="Cambria"/>
      <w:sz w:val="22"/>
      <w:lang w:val="en-GB" w:eastAsia="fr-FR"/>
    </w:rPr>
  </w:style>
  <w:style w:type="paragraph" w:styleId="FootnoteText">
    <w:name w:val="footnote text"/>
    <w:basedOn w:val="Normal"/>
    <w:link w:val="FootnoteTextChar"/>
    <w:uiPriority w:val="99"/>
    <w:semiHidden/>
    <w:unhideWhenUsed/>
    <w:rsid w:val="00A73A76"/>
    <w:rPr>
      <w:sz w:val="20"/>
    </w:rPr>
  </w:style>
  <w:style w:type="character" w:customStyle="1" w:styleId="FootnoteTextChar">
    <w:name w:val="Footnote Text Char"/>
    <w:link w:val="FootnoteText"/>
    <w:uiPriority w:val="99"/>
    <w:semiHidden/>
    <w:rsid w:val="00A73A76"/>
    <w:rPr>
      <w:rFonts w:ascii="Cambria" w:eastAsia="MS Mincho" w:hAnsi="Cambria" w:cs="Cambria"/>
      <w:lang w:val="en-GB" w:eastAsia="fr-FR"/>
    </w:rPr>
  </w:style>
  <w:style w:type="character" w:styleId="FootnoteReference">
    <w:name w:val="footnote reference"/>
    <w:uiPriority w:val="99"/>
    <w:semiHidden/>
    <w:unhideWhenUsed/>
    <w:rsid w:val="00A73A76"/>
    <w:rPr>
      <w:vertAlign w:val="superscript"/>
    </w:rPr>
  </w:style>
  <w:style w:type="paragraph" w:styleId="EndnoteText">
    <w:name w:val="endnote text"/>
    <w:basedOn w:val="Normal"/>
    <w:link w:val="EndnoteTextChar"/>
    <w:uiPriority w:val="99"/>
    <w:semiHidden/>
    <w:unhideWhenUsed/>
    <w:rsid w:val="009476CB"/>
    <w:rPr>
      <w:sz w:val="20"/>
    </w:rPr>
  </w:style>
  <w:style w:type="character" w:customStyle="1" w:styleId="EndnoteTextChar">
    <w:name w:val="Endnote Text Char"/>
    <w:link w:val="EndnoteText"/>
    <w:uiPriority w:val="99"/>
    <w:semiHidden/>
    <w:rsid w:val="009476CB"/>
    <w:rPr>
      <w:rFonts w:ascii="Cambria" w:eastAsia="MS Mincho" w:hAnsi="Cambria" w:cs="Cambria"/>
      <w:lang w:val="en-GB" w:eastAsia="fr-FR"/>
    </w:rPr>
  </w:style>
  <w:style w:type="character" w:styleId="EndnoteReference">
    <w:name w:val="endnote reference"/>
    <w:uiPriority w:val="99"/>
    <w:semiHidden/>
    <w:unhideWhenUsed/>
    <w:rsid w:val="00947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646D-1599-4419-9BB7-239C9903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Frankowska Joanna</cp:lastModifiedBy>
  <cp:revision>8</cp:revision>
  <cp:lastPrinted>2019-01-25T12:14:00Z</cp:lastPrinted>
  <dcterms:created xsi:type="dcterms:W3CDTF">2023-09-01T11:50:00Z</dcterms:created>
  <dcterms:modified xsi:type="dcterms:W3CDTF">2023-09-01T13:15:00Z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MSIP_Label_6bd9ddd1-4d20-43f6-abfa-fc3c07406f94_Enabled">
    <vt:lpwstr>true</vt:lpwstr>
  </property>
  <property fmtid="{D5CDD505-2E9C-101B-9397-08002B2CF9AE}" pid="10" name="MSIP_Label_6bd9ddd1-4d20-43f6-abfa-fc3c07406f94_SetDate">
    <vt:lpwstr>2023-08-29T08:00:27Z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f58b2495-c5b0-429c-bc85-250b104728b6</vt:lpwstr>
  </property>
  <property fmtid="{D5CDD505-2E9C-101B-9397-08002B2CF9AE}" pid="15" name="MSIP_Label_6bd9ddd1-4d20-43f6-abfa-fc3c07406f94_ContentBits">
    <vt:lpwstr>0</vt:lpwstr>
  </property>
</Properties>
</file>